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7F" w:rsidRDefault="00E2597F" w:rsidP="00E2597F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</w:t>
      </w:r>
    </w:p>
    <w:p w:rsidR="00E2597F" w:rsidRDefault="00E2597F" w:rsidP="00E2597F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ПЕТРОВСКОГО СЕЛЬСКОГО ПОСЕЛЕНИЯ</w:t>
      </w:r>
    </w:p>
    <w:p w:rsidR="00E2597F" w:rsidRDefault="00E2597F" w:rsidP="00E2597F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ТЕВРИЗСКОГО МУНИЦИПАЛЬНОГО</w:t>
      </w:r>
    </w:p>
    <w:p w:rsidR="00E2597F" w:rsidRDefault="00E2597F" w:rsidP="00E2597F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РАЙОНА ОМСКОЙ ОБЛАСТИ</w:t>
      </w:r>
    </w:p>
    <w:p w:rsidR="00E2597F" w:rsidRDefault="00E2597F" w:rsidP="00E2597F">
      <w:pPr>
        <w:pStyle w:val="a5"/>
        <w:jc w:val="left"/>
        <w:rPr>
          <w:b w:val="0"/>
          <w:sz w:val="24"/>
          <w:szCs w:val="24"/>
        </w:rPr>
      </w:pPr>
    </w:p>
    <w:p w:rsidR="00E2597F" w:rsidRDefault="00E2597F" w:rsidP="00E2597F">
      <w:pPr>
        <w:pStyle w:val="a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РЕШЕНИЕ</w:t>
      </w:r>
    </w:p>
    <w:p w:rsidR="00E2597F" w:rsidRDefault="00E2597F" w:rsidP="00E2597F">
      <w:pPr>
        <w:rPr>
          <w:sz w:val="24"/>
          <w:szCs w:val="24"/>
        </w:rPr>
      </w:pPr>
    </w:p>
    <w:p w:rsidR="00E2597F" w:rsidRDefault="00E2597F" w:rsidP="00E2597F">
      <w:pPr>
        <w:rPr>
          <w:sz w:val="24"/>
          <w:szCs w:val="24"/>
        </w:rPr>
      </w:pPr>
      <w:r>
        <w:rPr>
          <w:sz w:val="24"/>
          <w:szCs w:val="24"/>
        </w:rPr>
        <w:t>от « 27 » ноября 2023 г.                                                                         №  127-р</w:t>
      </w:r>
    </w:p>
    <w:p w:rsidR="00E2597F" w:rsidRDefault="00E2597F" w:rsidP="00E2597F">
      <w:pPr>
        <w:rPr>
          <w:sz w:val="24"/>
          <w:szCs w:val="24"/>
        </w:rPr>
      </w:pPr>
    </w:p>
    <w:p w:rsidR="00E2597F" w:rsidRDefault="00E2597F" w:rsidP="00E259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определении размера арендной платы</w:t>
      </w:r>
    </w:p>
    <w:p w:rsidR="00E2597F" w:rsidRDefault="00E2597F" w:rsidP="00E25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 Администрации Петровского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Федеральным законом N 131-ФЗ "Об общих принципах организации местного самоуправления в Российской Федерации", в соответствии с Положением «Об управлении и распоряжении  муниципальной собственностью Администрации Петровского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области», утвержденного Решением Совета Петровского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№ 132-р от 15.04.2008г., Совет Петровского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решил:</w:t>
      </w:r>
    </w:p>
    <w:p w:rsidR="00E2597F" w:rsidRDefault="00E2597F" w:rsidP="00E25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порядок определения размера арендной платы за аренду недвижимого имущества, находящегося в собственности Администрации Петровского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района, согласно приложению к настоящему решению.</w:t>
      </w:r>
    </w:p>
    <w:p w:rsidR="00E2597F" w:rsidRDefault="00E2597F" w:rsidP="00E25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Признать утратившим силу решение Совета Петровского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  от 31.03.2016г. № 36-р «Об определении размера арендной платы».</w:t>
      </w:r>
    </w:p>
    <w:p w:rsidR="00E2597F" w:rsidRDefault="00E2597F" w:rsidP="00E25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Опубликовать настоящее Решение в печатном органе средств массовой информации «Официальный бюллетень органов местного самоуправления Петровского сельского 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 района Омской области»</w:t>
      </w:r>
    </w:p>
    <w:p w:rsidR="00E2597F" w:rsidRDefault="00E2597F" w:rsidP="00E25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2597F" w:rsidRDefault="00E2597F" w:rsidP="00E25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Петровского сельского</w:t>
      </w:r>
    </w:p>
    <w:p w:rsidR="00E2597F" w:rsidRDefault="00E2597F" w:rsidP="00E2597F">
      <w:pPr>
        <w:rPr>
          <w:sz w:val="24"/>
          <w:szCs w:val="24"/>
        </w:rPr>
      </w:pPr>
      <w:r>
        <w:rPr>
          <w:sz w:val="24"/>
          <w:szCs w:val="24"/>
        </w:rPr>
        <w:t xml:space="preserve">Поселения </w:t>
      </w: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</w:t>
      </w:r>
    </w:p>
    <w:p w:rsidR="00E2597F" w:rsidRDefault="00E2597F" w:rsidP="00E2597F">
      <w:pPr>
        <w:rPr>
          <w:sz w:val="24"/>
          <w:szCs w:val="24"/>
        </w:rPr>
      </w:pPr>
      <w:r>
        <w:rPr>
          <w:sz w:val="24"/>
          <w:szCs w:val="24"/>
        </w:rPr>
        <w:t xml:space="preserve">Района Омской области                                                                                      </w:t>
      </w:r>
      <w:proofErr w:type="spellStart"/>
      <w:r>
        <w:rPr>
          <w:sz w:val="24"/>
          <w:szCs w:val="24"/>
        </w:rPr>
        <w:t>О.М.Ленгард</w:t>
      </w:r>
      <w:proofErr w:type="spellEnd"/>
    </w:p>
    <w:p w:rsidR="00E2597F" w:rsidRDefault="00E2597F" w:rsidP="00E2597F">
      <w:pPr>
        <w:rPr>
          <w:sz w:val="24"/>
          <w:szCs w:val="24"/>
        </w:rPr>
      </w:pPr>
    </w:p>
    <w:p w:rsidR="00E2597F" w:rsidRDefault="00E2597F" w:rsidP="00E2597F">
      <w:pPr>
        <w:rPr>
          <w:sz w:val="24"/>
          <w:szCs w:val="24"/>
        </w:rPr>
      </w:pPr>
    </w:p>
    <w:p w:rsidR="00E2597F" w:rsidRDefault="00E2597F" w:rsidP="00E259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Петровского сельского поселения </w:t>
      </w:r>
    </w:p>
    <w:p w:rsidR="00E2597F" w:rsidRDefault="00E2597F" w:rsidP="00E2597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Тевризского</w:t>
      </w:r>
      <w:proofErr w:type="spellEnd"/>
      <w:r>
        <w:rPr>
          <w:sz w:val="24"/>
          <w:szCs w:val="24"/>
        </w:rPr>
        <w:t xml:space="preserve"> муниципального</w:t>
      </w:r>
    </w:p>
    <w:p w:rsidR="00E2597F" w:rsidRDefault="00E2597F" w:rsidP="00E2597F">
      <w:pPr>
        <w:jc w:val="both"/>
        <w:rPr>
          <w:sz w:val="24"/>
          <w:szCs w:val="24"/>
        </w:rPr>
      </w:pPr>
      <w:r>
        <w:rPr>
          <w:sz w:val="24"/>
          <w:szCs w:val="24"/>
        </w:rPr>
        <w:t>района Омской области                                                                                   Е.А.Бусыгина</w:t>
      </w:r>
      <w:r>
        <w:rPr>
          <w:sz w:val="24"/>
          <w:szCs w:val="24"/>
        </w:rPr>
        <w:tab/>
        <w:t xml:space="preserve"> </w:t>
      </w:r>
    </w:p>
    <w:p w:rsidR="00E2597F" w:rsidRDefault="00E2597F" w:rsidP="00E25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E2597F" w:rsidRDefault="00E2597F" w:rsidP="00E2597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Петровского сельского поселения</w:t>
      </w:r>
    </w:p>
    <w:p w:rsidR="00E2597F" w:rsidRDefault="00E2597F" w:rsidP="00E2597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2597F" w:rsidRDefault="00E2597F" w:rsidP="00E2597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Омской области от « 27 » ноября 2023г. № 127-р</w:t>
      </w:r>
    </w:p>
    <w:p w:rsidR="00E2597F" w:rsidRDefault="00E2597F" w:rsidP="00E2597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E2597F" w:rsidRDefault="00E2597F" w:rsidP="00E2597F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определения размера арендной платы за аренду недвижимого имущества, находящегося в собственности Администрации Петровского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E2597F" w:rsidRDefault="00E2597F" w:rsidP="00E2597F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numPr>
          <w:ilvl w:val="0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Ставка арендной платы за недвижимое имущество (нежилое), находящееся в собственности Администрации Петровского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(далее – недвижимое имущество (нежилое) за 1 кв.м. в месяц определяется по формуле:</w:t>
      </w:r>
      <w:proofErr w:type="gramEnd"/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= Б *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1000,</w:t>
      </w: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базовая ставка арендной платы за 1 кв.м. в месяц объекта недвижимого имущества в руб.;</w:t>
      </w: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произведение поправочных коэффициентов (К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*К2*К3*К4);</w:t>
      </w: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арендной платы в месяц по конкретному нежилому помещению определяется по формуле:</w:t>
      </w: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Ам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=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*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ар,</w:t>
      </w: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ар – площадь нежилого помещения, сданного в аренду, кв.м.</w:t>
      </w:r>
      <w:proofErr w:type="gramEnd"/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самостоятельной оплаты арендатором электроснабжения, отопления и коммунальных услуг, услуг по охране здания по самостоятельным договорам с соответствующими организациями, размер арендной платы увеличивается на сумму фактических затрат арендодателя, рассчитанных пропорционально арендуемой площади.</w:t>
      </w: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помещения, сданного в аренду определяется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сумма его внутренних площадей, согласно техническому паспорту. В указанную площадь также включаются площади вспомогательных помещений, определяемых пропорционально занимаемым площадям, относительно общей площади здания, в котором находится арендуемый объект.</w:t>
      </w: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numPr>
          <w:ilvl w:val="0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базовой ставки расчета арендной платы за 1 кв.м. в месяц равен стоимости 1 кв. метра общей площади жилья в сельской местности на территории Омской области, установленной Приказом Министерства строительства и жилищно-коммунального комплекса Омской области от 30 декабря 2021 года № 134-п в размере 30000,0 рублей.</w:t>
      </w: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numPr>
          <w:ilvl w:val="0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Поправочные коэффициенты – коэффициенты, используемые в расчете и влияющие на размере арендной платы:</w:t>
      </w:r>
    </w:p>
    <w:p w:rsidR="00E2597F" w:rsidRDefault="00E2597F" w:rsidP="00E2597F">
      <w:pPr>
        <w:pStyle w:val="ListParagraph"/>
      </w:pPr>
    </w:p>
    <w:p w:rsidR="00E2597F" w:rsidRDefault="00E2597F" w:rsidP="00E2597F">
      <w:pPr>
        <w:pStyle w:val="ConsPlusNormal"/>
        <w:widowControl/>
        <w:numPr>
          <w:ilvl w:val="0"/>
          <w:numId w:val="2"/>
        </w:numPr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коэффициент качества объекта нежилого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учитывает расположение объекта, степень технического обустройства, состояния парковочного места)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состояние нежилого имущества, сдаваемого в аренду, характеризуется как «непригодное для использования», то есть недвижимое имущество в текущем состоянии не пригодно к использованию по функциональному назначению, имеет дефекты, устранимые только с помощью капитального ремонта, значение данного коэффициента 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принимается равным 0,3, в иных случаях определяется по формуле:</w:t>
      </w: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К1.1 + К1.2. + 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.3, </w:t>
      </w:r>
    </w:p>
    <w:p w:rsidR="00E2597F" w:rsidRDefault="00E2597F" w:rsidP="00E2597F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</w:p>
    <w:p w:rsidR="00E2597F" w:rsidRDefault="00E2597F" w:rsidP="00E2597F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.1. – коэффициент расположения объекта недвижимого имущества</w:t>
      </w:r>
    </w:p>
    <w:p w:rsidR="00E2597F" w:rsidRDefault="00E2597F" w:rsidP="00E2597F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Значения коэффициента расположения объекта недвижимого имущества 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9"/>
        <w:gridCol w:w="4732"/>
      </w:tblGrid>
      <w:tr w:rsidR="00E2597F" w:rsidTr="00E2597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помещения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E2597F" w:rsidTr="00E2597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стоящее здание*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2597F" w:rsidTr="00E2597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первом этаже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E2597F" w:rsidTr="00E2597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втором этаже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2597F" w:rsidTr="00E2597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третьем этаже и выше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E2597F" w:rsidTr="00E2597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полуподвалах, цоколе здания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2597F" w:rsidTr="00E2597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подвалах, чердаках, мансардах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E2597F" w:rsidRDefault="00E2597F" w:rsidP="00E2597F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случаев, когда в аренду сдается здание полностью</w:t>
      </w:r>
    </w:p>
    <w:p w:rsidR="00E2597F" w:rsidRDefault="00E2597F" w:rsidP="00E2597F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.2 – коэффициент, учитывающий степень технического обустройства недвижимого имущества.</w:t>
      </w: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водопровода, горячего водоснабжения, канализации, центрального отопления, возможности аренды телефонного номера, значение коэффициента 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.2 равняется 0,5. При отсутствии одного из вышеперечисленных видов услуг, значение коэффициента снижается на 0,1 за каждый отсутствующий вид у слуг.</w:t>
      </w: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.2 устанавливается по наличию водопровода, горячего водоснабжения, канализации, центрального отопления, возможности аренды телефонного номера в технически исправном функционирующем состоянии независимо от их принадлежности.</w:t>
      </w: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Считается, что перечисленные виды услуг имеются в наличии, если в арендуемом объекте недвижимого имущества имеется свободный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хотя бы к одному из мест общего пользования, оснащенных соответствующими видами услуг.</w:t>
      </w: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.3 – коэффициент состояния недвижимого имущества:</w:t>
      </w: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нормальное – 0,6;</w:t>
      </w: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удовлетворительное – 0,5;</w:t>
      </w: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неудовлетворительное – 0,4;</w:t>
      </w: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«нормальное» - недвижимое имущество пригодно к немедленному использованию по функциональному назначению, не имеет дефектов или имеет незначительные дефекты отделки (волосные трещины и сколы штукатурки, единичные повреждения окрасочного слоя, царапины, отдельные мелкие повреждения покрытий стен и потолков);</w:t>
      </w: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«удовлетворительное» - недвижимое имущество пригодно к использованию по функциональному назначению, имеет дефекты, устранимые с помощью текущего ремонта;</w:t>
      </w: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«неудовлетворительное» - недвижимое имущество в текущем состоянии пригодно к использованию по функциональному назначению, но имеет дефекты, устранимые только с помощью капитального ремонта.</w:t>
      </w: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numPr>
          <w:ilvl w:val="0"/>
          <w:numId w:val="2"/>
        </w:num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коэффициент территориальной зоны</w:t>
      </w:r>
    </w:p>
    <w:p w:rsidR="00E2597F" w:rsidRDefault="00E2597F" w:rsidP="00E2597F">
      <w:pPr>
        <w:pStyle w:val="ConsPlusNormal"/>
        <w:widowControl/>
        <w:ind w:left="108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6745"/>
        <w:gridCol w:w="2166"/>
      </w:tblGrid>
      <w:tr w:rsidR="00E2597F" w:rsidTr="00E2597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территорий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E2597F" w:rsidTr="00E2597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населенные пункты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E2597F" w:rsidRDefault="00E2597F" w:rsidP="00E2597F">
      <w:pPr>
        <w:pStyle w:val="ConsPlusNormal"/>
        <w:widowControl/>
        <w:ind w:left="7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numPr>
          <w:ilvl w:val="0"/>
          <w:numId w:val="2"/>
        </w:num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К3 – коэффициент вида деятельности арендатора</w:t>
      </w: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9"/>
        <w:gridCol w:w="6754"/>
        <w:gridCol w:w="2158"/>
      </w:tblGrid>
      <w:tr w:rsidR="00E2597F" w:rsidTr="00E259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 арендатора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</w:tr>
      <w:tr w:rsidR="00E2597F" w:rsidTr="00E259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597F" w:rsidTr="00E259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бытовых услуг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E2597F" w:rsidTr="00E259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государственному управлению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E2597F" w:rsidTr="00E259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2597F" w:rsidTr="00E259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и строительство газопроводов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597F" w:rsidTr="00E259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виды деятельности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2597F" w:rsidRDefault="00E2597F" w:rsidP="00E2597F">
      <w:pPr>
        <w:pStyle w:val="ConsPlusNormal"/>
        <w:widowControl/>
        <w:numPr>
          <w:ilvl w:val="0"/>
          <w:numId w:val="2"/>
        </w:num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коэффициент вида строительных материалов здания</w:t>
      </w:r>
    </w:p>
    <w:p w:rsidR="00E2597F" w:rsidRDefault="00E2597F" w:rsidP="00E2597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1"/>
        <w:gridCol w:w="6603"/>
        <w:gridCol w:w="2307"/>
      </w:tblGrid>
      <w:tr w:rsidR="00E2597F" w:rsidTr="00E259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E2597F" w:rsidTr="00E259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Кирпич, панели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E2597F" w:rsidTr="00E259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7F" w:rsidRDefault="00E2597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E2597F" w:rsidRDefault="00E2597F" w:rsidP="00E2597F">
      <w:pPr>
        <w:rPr>
          <w:sz w:val="24"/>
          <w:szCs w:val="24"/>
        </w:rPr>
      </w:pPr>
    </w:p>
    <w:p w:rsidR="00E2597F" w:rsidRDefault="00E2597F" w:rsidP="00E2597F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bookmarkStart w:id="0" w:name="sub_1013"/>
      <w:r>
        <w:rPr>
          <w:sz w:val="24"/>
          <w:szCs w:val="24"/>
        </w:rPr>
        <w:t xml:space="preserve">Сроки внесения арендной платы устанавливаются договором аренды имущества. </w:t>
      </w:r>
      <w:bookmarkStart w:id="1" w:name="sub_1014"/>
      <w:bookmarkEnd w:id="0"/>
      <w:r>
        <w:rPr>
          <w:sz w:val="24"/>
          <w:szCs w:val="24"/>
        </w:rPr>
        <w:t>Размер и условия внесения арендной платы являются существенными условиями договора аренды. Текст договора должен содержать условия установления ответственности за неисполнение или ненадлежащее исполнение обязательств по договору</w:t>
      </w:r>
      <w:bookmarkEnd w:id="1"/>
      <w:r>
        <w:rPr>
          <w:sz w:val="24"/>
          <w:szCs w:val="24"/>
        </w:rPr>
        <w:t>.</w:t>
      </w:r>
      <w:bookmarkStart w:id="2" w:name="sub_1015"/>
      <w:r>
        <w:rPr>
          <w:sz w:val="24"/>
          <w:szCs w:val="24"/>
        </w:rPr>
        <w:t> Льготы по уплате арендной платы за аренду недвижимого имущества, находящегося в собственности Администрации Петровского сельского поселения, могут устанавливаться  Советом депутатов Петровского сельского поселения</w:t>
      </w:r>
      <w:bookmarkEnd w:id="2"/>
      <w:r>
        <w:rPr>
          <w:sz w:val="24"/>
          <w:szCs w:val="24"/>
        </w:rPr>
        <w:t xml:space="preserve">. </w:t>
      </w:r>
    </w:p>
    <w:p w:rsidR="00E2597F" w:rsidRDefault="00E2597F" w:rsidP="00E2597F"/>
    <w:p w:rsidR="00E92BB8" w:rsidRDefault="00E92BB8"/>
    <w:sectPr w:rsidR="00E92BB8" w:rsidSect="00E9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7856"/>
    <w:multiLevelType w:val="hybridMultilevel"/>
    <w:tmpl w:val="34C843DC"/>
    <w:lvl w:ilvl="0" w:tplc="68227C1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96C18"/>
    <w:multiLevelType w:val="hybridMultilevel"/>
    <w:tmpl w:val="68E0FA6A"/>
    <w:lvl w:ilvl="0" w:tplc="9120060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97F"/>
    <w:rsid w:val="00E2597F"/>
    <w:rsid w:val="00E9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597F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E259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E2597F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rsid w:val="00E259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E259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E2597F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1135</Words>
  <Characters>6476</Characters>
  <Application>Microsoft Office Word</Application>
  <DocSecurity>0</DocSecurity>
  <Lines>53</Lines>
  <Paragraphs>15</Paragraphs>
  <ScaleCrop>false</ScaleCrop>
  <Company>Grizli777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2023-12-06T06:23:00Z</dcterms:created>
  <dcterms:modified xsi:type="dcterms:W3CDTF">2023-12-06T06:29:00Z</dcterms:modified>
</cp:coreProperties>
</file>